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adjustRightInd/>
        <w:spacing w:line="700" w:lineRule="exact"/>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STDR-2024-0020003</w:t>
      </w:r>
    </w:p>
    <w:p>
      <w:pPr>
        <w:keepNext w:val="0"/>
        <w:keepLines w:val="0"/>
        <w:pageBreakBefore w:val="0"/>
        <w:widowControl w:val="0"/>
        <w:kinsoku/>
        <w:overflowPunct/>
        <w:topLinePunct w:val="0"/>
        <w:autoSpaceDN/>
        <w:bidi w:val="0"/>
        <w:adjustRightInd/>
        <w:spacing w:line="700" w:lineRule="exact"/>
        <w:jc w:val="center"/>
        <w:textAlignment w:val="auto"/>
        <w:rPr>
          <w:rFonts w:ascii="仿宋_GB2312" w:eastAsia="仿宋_GB2312" w:cs="仿宋_GB2312"/>
          <w:color w:val="auto"/>
          <w:spacing w:val="0"/>
          <w:sz w:val="32"/>
          <w:szCs w:val="32"/>
        </w:rPr>
      </w:pPr>
    </w:p>
    <w:p>
      <w:pPr>
        <w:keepNext w:val="0"/>
        <w:keepLines w:val="0"/>
        <w:pageBreakBefore w:val="0"/>
        <w:widowControl w:val="0"/>
        <w:kinsoku/>
        <w:overflowPunct/>
        <w:topLinePunct w:val="0"/>
        <w:autoSpaceDN/>
        <w:bidi w:val="0"/>
        <w:adjustRightInd/>
        <w:spacing w:line="700" w:lineRule="exact"/>
        <w:jc w:val="center"/>
        <w:textAlignment w:val="auto"/>
        <w:rPr>
          <w:rFonts w:ascii="仿宋_GB2312" w:eastAsia="仿宋_GB2312" w:cs="仿宋_GB2312"/>
          <w:color w:val="auto"/>
          <w:spacing w:val="0"/>
          <w:sz w:val="32"/>
          <w:szCs w:val="32"/>
        </w:rPr>
      </w:pPr>
    </w:p>
    <w:p>
      <w:pPr>
        <w:keepNext w:val="0"/>
        <w:keepLines w:val="0"/>
        <w:pageBreakBefore w:val="0"/>
        <w:widowControl w:val="0"/>
        <w:kinsoku/>
        <w:overflowPunct/>
        <w:topLinePunct w:val="0"/>
        <w:autoSpaceDN/>
        <w:bidi w:val="0"/>
        <w:adjustRightInd/>
        <w:spacing w:line="700" w:lineRule="exact"/>
        <w:jc w:val="center"/>
        <w:textAlignment w:val="auto"/>
        <w:rPr>
          <w:rFonts w:ascii="仿宋_GB2312" w:eastAsia="仿宋_GB2312" w:cs="仿宋_GB2312"/>
          <w:color w:val="auto"/>
          <w:spacing w:val="0"/>
          <w:sz w:val="32"/>
          <w:szCs w:val="32"/>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山政办发〔20</w:t>
      </w:r>
      <w:r>
        <w:rPr>
          <w:rFonts w:hint="eastAsia" w:ascii="仿宋_GB2312" w:hAnsi="仿宋_GB2312" w:eastAsia="仿宋_GB2312" w:cs="仿宋_GB2312"/>
          <w:color w:val="auto"/>
          <w:spacing w:val="0"/>
          <w:sz w:val="32"/>
          <w:szCs w:val="32"/>
          <w:lang w:val="en-US" w:eastAsia="zh-CN"/>
        </w:rPr>
        <w:t>24</w:t>
      </w:r>
      <w:r>
        <w:rPr>
          <w:rFonts w:hint="eastAsia" w:ascii="仿宋_GB2312" w:hAnsi="仿宋_GB2312" w:eastAsia="仿宋_GB2312" w:cs="仿宋_GB2312"/>
          <w:color w:val="auto"/>
          <w:spacing w:val="0"/>
          <w:sz w:val="32"/>
          <w:szCs w:val="32"/>
        </w:rPr>
        <w:t>〕</w:t>
      </w:r>
      <w:r>
        <w:rPr>
          <w:rFonts w:hint="default" w:ascii="仿宋_GB2312" w:hAnsi="仿宋_GB2312" w:eastAsia="仿宋_GB2312" w:cs="仿宋_GB2312"/>
          <w:color w:val="auto"/>
          <w:spacing w:val="0"/>
          <w:sz w:val="32"/>
          <w:szCs w:val="32"/>
          <w:lang w:val="en" w:eastAsia="zh-CN"/>
        </w:rPr>
        <w:t>6</w:t>
      </w:r>
      <w:r>
        <w:rPr>
          <w:rFonts w:hint="eastAsia" w:ascii="仿宋_GB2312" w:hAnsi="仿宋_GB2312" w:eastAsia="仿宋_GB2312" w:cs="仿宋_GB2312"/>
          <w:color w:val="auto"/>
          <w:spacing w:val="0"/>
          <w:sz w:val="32"/>
          <w:szCs w:val="32"/>
        </w:rPr>
        <w:t>号</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仿宋_GB2312" w:eastAsia="仿宋_GB2312" w:cs="仿宋_GB2312"/>
          <w:color w:val="auto"/>
          <w:spacing w:val="0"/>
          <w:sz w:val="32"/>
          <w:szCs w:val="32"/>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仿宋_GB2312" w:eastAsia="仿宋_GB2312" w:cs="仿宋_GB2312"/>
          <w:color w:val="auto"/>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山亭区人民政府办公室</w:t>
      </w:r>
    </w:p>
    <w:p>
      <w:pPr>
        <w:pStyle w:val="3"/>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简体" w:cs="Times New Roman"/>
          <w:color w:val="auto"/>
          <w:spacing w:val="0"/>
          <w:sz w:val="44"/>
          <w:szCs w:val="44"/>
        </w:rPr>
      </w:pPr>
      <w:r>
        <w:rPr>
          <w:rFonts w:hint="eastAsia" w:ascii="方正小标宋简体" w:hAnsi="方正小标宋简体" w:eastAsia="方正小标宋简体" w:cs="方正小标宋简体"/>
          <w:color w:val="auto"/>
          <w:spacing w:val="0"/>
          <w:sz w:val="44"/>
          <w:szCs w:val="44"/>
        </w:rPr>
        <w:t>关于印发《</w:t>
      </w:r>
      <w:r>
        <w:rPr>
          <w:rFonts w:hint="eastAsia" w:ascii="方正小标宋_GBK" w:hAnsi="方正小标宋_GBK" w:eastAsia="方正小标宋_GBK" w:cs="方正小标宋_GBK"/>
          <w:b w:val="0"/>
          <w:bCs w:val="0"/>
          <w:i w:val="0"/>
          <w:caps w:val="0"/>
          <w:color w:val="auto"/>
          <w:spacing w:val="0"/>
          <w:sz w:val="43"/>
          <w:szCs w:val="43"/>
          <w:shd w:val="clear" w:fill="FFFFFF"/>
          <w:lang w:eastAsia="zh-CN"/>
        </w:rPr>
        <w:t>山亭区公平竞争审查制度实施细则（试行）</w:t>
      </w:r>
      <w:r>
        <w:rPr>
          <w:rFonts w:hint="eastAsia" w:ascii="方正小标宋简体" w:hAnsi="方正小标宋简体" w:eastAsia="方正小标宋简体" w:cs="方正小标宋简体"/>
          <w:color w:val="auto"/>
          <w:spacing w:val="0"/>
          <w:sz w:val="44"/>
          <w:szCs w:val="44"/>
        </w:rPr>
        <w:t>》的通知</w:t>
      </w:r>
    </w:p>
    <w:p>
      <w:pPr>
        <w:keepNext w:val="0"/>
        <w:keepLines w:val="0"/>
        <w:pageBreakBefore w:val="0"/>
        <w:widowControl w:val="0"/>
        <w:kinsoku/>
        <w:overflowPunct/>
        <w:topLinePunct w:val="0"/>
        <w:autoSpaceDE w:val="0"/>
        <w:autoSpaceDN/>
        <w:bidi w:val="0"/>
        <w:adjustRightInd/>
        <w:spacing w:line="560" w:lineRule="exact"/>
        <w:ind w:right="315" w:rightChars="150"/>
        <w:textAlignment w:val="auto"/>
        <w:rPr>
          <w:rFonts w:hint="eastAsia" w:ascii="仿宋_GB2312" w:eastAsia="仿宋_GB2312"/>
          <w:color w:val="auto"/>
          <w:spacing w:val="0"/>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right="0" w:rightChars="0" w:firstLine="0" w:firstLineChars="0"/>
        <w:jc w:val="left"/>
        <w:textAlignment w:val="auto"/>
        <w:rPr>
          <w:rFonts w:hint="eastAsia" w:ascii="仿宋_GB2312" w:eastAsia="仿宋_GB2312"/>
          <w:color w:val="auto"/>
          <w:spacing w:val="0"/>
          <w:sz w:val="32"/>
          <w:szCs w:val="32"/>
        </w:rPr>
      </w:pPr>
      <w:r>
        <w:rPr>
          <w:rFonts w:hint="eastAsia" w:ascii="仿宋_GB2312" w:eastAsia="仿宋_GB2312"/>
          <w:color w:val="auto"/>
          <w:spacing w:val="0"/>
          <w:sz w:val="32"/>
          <w:szCs w:val="32"/>
        </w:rPr>
        <w:t>各镇人民政府</w:t>
      </w:r>
      <w:r>
        <w:rPr>
          <w:rFonts w:hint="eastAsia" w:ascii="仿宋_GB2312" w:eastAsia="仿宋_GB2312"/>
          <w:color w:val="auto"/>
          <w:spacing w:val="0"/>
          <w:sz w:val="32"/>
          <w:szCs w:val="32"/>
          <w:lang w:eastAsia="zh-CN"/>
        </w:rPr>
        <w:t>、</w:t>
      </w:r>
      <w:r>
        <w:rPr>
          <w:rFonts w:hint="eastAsia" w:ascii="仿宋_GB2312" w:eastAsia="仿宋_GB2312"/>
          <w:color w:val="auto"/>
          <w:spacing w:val="0"/>
          <w:sz w:val="32"/>
          <w:szCs w:val="32"/>
        </w:rPr>
        <w:t>山城街道办事处，</w:t>
      </w:r>
      <w:r>
        <w:rPr>
          <w:rFonts w:hint="eastAsia" w:ascii="仿宋_GB2312" w:eastAsia="仿宋_GB2312"/>
          <w:color w:val="auto"/>
          <w:spacing w:val="0"/>
          <w:sz w:val="32"/>
          <w:szCs w:val="32"/>
          <w:lang w:val="en-US" w:eastAsia="zh-CN"/>
        </w:rPr>
        <w:t>山亭经济开发区管委会，</w:t>
      </w:r>
      <w:r>
        <w:rPr>
          <w:rFonts w:hint="eastAsia" w:ascii="仿宋_GB2312" w:eastAsia="仿宋_GB2312"/>
          <w:color w:val="auto"/>
          <w:spacing w:val="0"/>
          <w:sz w:val="32"/>
          <w:szCs w:val="32"/>
          <w:lang w:eastAsia="zh-CN"/>
        </w:rPr>
        <w:t>区政府各</w:t>
      </w:r>
      <w:r>
        <w:rPr>
          <w:rFonts w:hint="eastAsia" w:ascii="仿宋_GB2312" w:eastAsia="仿宋_GB2312"/>
          <w:color w:val="auto"/>
          <w:spacing w:val="0"/>
          <w:sz w:val="32"/>
          <w:szCs w:val="32"/>
        </w:rPr>
        <w:t>部门单位：</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山亭区公平竞争审查制度实施细则（试行）</w:t>
      </w:r>
      <w:r>
        <w:rPr>
          <w:rFonts w:hint="eastAsia" w:ascii="仿宋_GB2312" w:hAnsi="仿宋_GB2312" w:eastAsia="仿宋_GB2312" w:cs="仿宋_GB2312"/>
          <w:color w:val="auto"/>
          <w:spacing w:val="0"/>
          <w:sz w:val="32"/>
          <w:szCs w:val="32"/>
        </w:rPr>
        <w:t>》已经区政府同意，现印发给你们，请</w:t>
      </w:r>
      <w:r>
        <w:rPr>
          <w:rFonts w:hint="eastAsia" w:ascii="仿宋_GB2312" w:hAnsi="仿宋_GB2312" w:eastAsia="仿宋_GB2312" w:cs="仿宋_GB2312"/>
          <w:color w:val="auto"/>
          <w:spacing w:val="0"/>
          <w:sz w:val="32"/>
          <w:szCs w:val="32"/>
          <w:lang w:eastAsia="zh-CN"/>
        </w:rPr>
        <w:t>认真贯彻落实</w:t>
      </w:r>
      <w:r>
        <w:rPr>
          <w:rFonts w:hint="eastAsia" w:ascii="仿宋_GB2312" w:hAnsi="仿宋_GB2312" w:eastAsia="仿宋_GB2312" w:cs="仿宋_GB2312"/>
          <w:color w:val="auto"/>
          <w:spacing w:val="0"/>
          <w:sz w:val="32"/>
          <w:szCs w:val="32"/>
        </w:rPr>
        <w:t>。</w:t>
      </w:r>
    </w:p>
    <w:p>
      <w:pPr>
        <w:pStyle w:val="2"/>
        <w:keepNext w:val="0"/>
        <w:keepLines w:val="0"/>
        <w:pageBreakBefore w:val="0"/>
        <w:widowControl w:val="0"/>
        <w:kinsoku/>
        <w:overflowPunct/>
        <w:topLinePunct w:val="0"/>
        <w:autoSpaceDN/>
        <w:bidi w:val="0"/>
        <w:adjustRightInd/>
        <w:ind w:left="0" w:leftChars="0" w:firstLine="0" w:firstLineChars="0"/>
        <w:textAlignment w:val="auto"/>
        <w:rPr>
          <w:rFonts w:hint="default"/>
          <w:spacing w:val="0"/>
        </w:rPr>
      </w:pPr>
    </w:p>
    <w:p>
      <w:pPr>
        <w:keepNext w:val="0"/>
        <w:keepLines w:val="0"/>
        <w:pageBreakBefore w:val="0"/>
        <w:widowControl w:val="0"/>
        <w:kinsoku/>
        <w:overflowPunct/>
        <w:topLinePunct w:val="0"/>
        <w:autoSpaceDN/>
        <w:bidi w:val="0"/>
        <w:adjustRightInd/>
        <w:textAlignment w:val="auto"/>
        <w:rPr>
          <w:rFonts w:hint="default"/>
          <w:spacing w:val="0"/>
        </w:rPr>
      </w:pPr>
    </w:p>
    <w:p>
      <w:pPr>
        <w:pStyle w:val="2"/>
        <w:keepNext w:val="0"/>
        <w:keepLines w:val="0"/>
        <w:pageBreakBefore w:val="0"/>
        <w:widowControl w:val="0"/>
        <w:kinsoku/>
        <w:wordWrap w:val="0"/>
        <w:overflowPunct/>
        <w:topLinePunct w:val="0"/>
        <w:autoSpaceDE/>
        <w:autoSpaceDN/>
        <w:bidi w:val="0"/>
        <w:adjustRightInd/>
        <w:spacing w:line="560" w:lineRule="exact"/>
        <w:jc w:val="righ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山亭区人民政府办公室</w:t>
      </w:r>
      <w:r>
        <w:rPr>
          <w:rFonts w:hint="eastAsia" w:hAnsi="仿宋_GB2312" w:cs="仿宋_GB2312"/>
          <w:color w:val="auto"/>
          <w:spacing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pacing w:line="560" w:lineRule="exact"/>
        <w:jc w:val="righ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2024年10月</w:t>
      </w:r>
      <w:r>
        <w:rPr>
          <w:rFonts w:hint="default" w:ascii="仿宋_GB2312" w:hAnsi="仿宋_GB2312" w:eastAsia="仿宋_GB2312" w:cs="仿宋_GB2312"/>
          <w:color w:val="auto"/>
          <w:spacing w:val="0"/>
          <w:sz w:val="32"/>
          <w:szCs w:val="32"/>
          <w:lang w:val="en" w:eastAsia="zh-CN"/>
        </w:rPr>
        <w:t>24</w:t>
      </w:r>
      <w:r>
        <w:rPr>
          <w:rFonts w:hint="eastAsia" w:ascii="仿宋_GB2312" w:hAnsi="仿宋_GB2312" w:eastAsia="仿宋_GB2312" w:cs="仿宋_GB2312"/>
          <w:color w:val="auto"/>
          <w:spacing w:val="0"/>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kern w:val="0"/>
          <w:sz w:val="32"/>
          <w:szCs w:val="32"/>
          <w:lang w:eastAsia="zh-CN"/>
        </w:rPr>
      </w:pPr>
      <w:r>
        <w:rPr>
          <w:rFonts w:hint="eastAsia" w:ascii="Times New Roman" w:hAnsi="Times New Roman" w:eastAsia="仿宋_GB2312" w:cs="Times New Roman"/>
          <w:color w:val="auto"/>
          <w:spacing w:val="0"/>
          <w:kern w:val="0"/>
          <w:sz w:val="32"/>
          <w:szCs w:val="32"/>
          <w:lang w:eastAsia="zh-CN"/>
        </w:rPr>
        <w:t>（</w:t>
      </w:r>
      <w:r>
        <w:rPr>
          <w:rFonts w:hint="eastAsia" w:ascii="Times New Roman" w:hAnsi="Times New Roman" w:eastAsia="仿宋_GB2312" w:cs="Times New Roman"/>
          <w:color w:val="auto"/>
          <w:spacing w:val="0"/>
          <w:kern w:val="0"/>
          <w:sz w:val="32"/>
          <w:szCs w:val="32"/>
          <w:lang w:val="en-US" w:eastAsia="zh-CN"/>
        </w:rPr>
        <w:t>此件公开发布</w:t>
      </w:r>
      <w:r>
        <w:rPr>
          <w:rFonts w:hint="eastAsia" w:ascii="Times New Roman" w:hAnsi="Times New Roman" w:eastAsia="仿宋_GB2312" w:cs="Times New Roman"/>
          <w:color w:val="auto"/>
          <w:spacing w:val="0"/>
          <w:kern w:val="0"/>
          <w:sz w:val="32"/>
          <w:szCs w:val="32"/>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_GBK" w:hAnsi="方正小标宋_GBK" w:eastAsia="方正小标宋_GBK" w:cs="方正小标宋_GBK"/>
          <w:b w:val="0"/>
          <w:bCs w:val="0"/>
          <w:i w:val="0"/>
          <w:caps w:val="0"/>
          <w:color w:val="auto"/>
          <w:spacing w:val="0"/>
          <w:sz w:val="43"/>
          <w:szCs w:val="43"/>
          <w:shd w:val="clear" w:fill="FFFFFF"/>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_GBK" w:hAnsi="方正小标宋_GBK" w:eastAsia="方正小标宋_GBK" w:cs="方正小标宋_GBK"/>
          <w:b w:val="0"/>
          <w:bCs w:val="0"/>
          <w:i w:val="0"/>
          <w:caps w:val="0"/>
          <w:color w:val="auto"/>
          <w:spacing w:val="0"/>
          <w:sz w:val="43"/>
          <w:szCs w:val="43"/>
          <w:shd w:val="clear" w:fill="FFFFFF"/>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val="0"/>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caps w:val="0"/>
          <w:color w:val="auto"/>
          <w:spacing w:val="0"/>
          <w:sz w:val="44"/>
          <w:szCs w:val="44"/>
          <w:shd w:val="clear" w:fill="FFFFFF"/>
          <w:lang w:eastAsia="zh-CN"/>
        </w:rPr>
        <w:t>山亭区公平竞争审查制度实施细则（试行）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方正小标宋_GBK" w:hAnsi="方正小标宋_GBK" w:eastAsia="方正小标宋_GBK" w:cs="方正小标宋_GBK"/>
          <w:b w:val="0"/>
          <w:bCs w:val="0"/>
          <w:i w:val="0"/>
          <w:caps w:val="0"/>
          <w:color w:val="auto"/>
          <w:spacing w:val="0"/>
          <w:sz w:val="43"/>
          <w:szCs w:val="43"/>
          <w:shd w:val="clear" w:fill="FFFFFF"/>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黑体" w:hAnsi="黑体" w:eastAsia="黑体" w:cs="黑体"/>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shd w:val="clear" w:fill="FFFFFF"/>
          <w:lang w:eastAsia="zh-CN"/>
        </w:rPr>
        <w:t>第一章</w:t>
      </w:r>
      <w:r>
        <w:rPr>
          <w:rFonts w:hint="eastAsia" w:ascii="黑体" w:hAnsi="黑体" w:eastAsia="黑体" w:cs="黑体"/>
          <w:b w:val="0"/>
          <w:bCs w:val="0"/>
          <w:i w:val="0"/>
          <w:caps w:val="0"/>
          <w:color w:val="auto"/>
          <w:spacing w:val="0"/>
          <w:sz w:val="32"/>
          <w:szCs w:val="32"/>
          <w:shd w:val="clear" w:fill="FFFFFF"/>
          <w:lang w:val="en-US" w:eastAsia="zh-CN"/>
        </w:rPr>
        <w:t xml:space="preserve">  总则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第一条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为全面落实公平竞争审查制度，健全公平竞争审查机制，规范有效开展审查工作，根据《公平竞争审查条例》《公平竞争审查制度实施细则》等相关规定，制定本实施细则。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第二条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行政机关以及法律、法规授权的具有管理公共事务职能的组织，在制定市场准入和退出、产业发展、招商引资、招标投标、政府采购、经营行为规范、资质标准等涉及市场主体经济活动的文件以及“一事一议”形式的具体政策措施时，应当进行公平竞争审查，评估对市场竞争的影响，防止排除、限制市场竞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经公平竞争审查认为不具有排除、限制竞争效果或者符合例外规定的，可以实施；具有排除、限制竞争效果且不符合例外规定的，应当不予出台或者调整至符合相关要求后出台；未经公平竞争审查的，不得出台。</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第三条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建立健全区公平竞争审查工作联席会议制度，统筹协调和监督指导全区公平竞争审查工作，联席会议办公室设在区市场监督管理局，承担联席会议日常工作。</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b w:val="0"/>
          <w:bCs w:val="0"/>
          <w:i w:val="0"/>
          <w:caps w:val="0"/>
          <w:color w:val="auto"/>
          <w:spacing w:val="0"/>
          <w:sz w:val="32"/>
          <w:szCs w:val="32"/>
          <w:shd w:val="clear" w:fill="FFFFFF"/>
          <w:lang w:val="en-US" w:eastAsia="zh-CN"/>
        </w:rPr>
      </w:pP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第二章  审查机制</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第四条</w:t>
      </w:r>
      <w:r>
        <w:rPr>
          <w:rFonts w:hint="eastAsia" w:ascii="仿宋" w:hAnsi="仿宋" w:eastAsia="仿宋" w:cs="仿宋"/>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lang w:val="en-US" w:eastAsia="zh-CN"/>
        </w:rPr>
        <w:t>涉及市场主体经济活动的文件以及具体政策措施，由起草单位在起草过程中按照本细则规定进行公平竞争审查。未经公平竞争审查的，不得提交审议。</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部门出台的政策措施，由起草单位在起草阶段开展公平竞争审查。</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多个部门联合出台的政策措施，由牵头起草单位在起草阶段开展公平竞争审查。</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第五条</w:t>
      </w:r>
      <w:r>
        <w:rPr>
          <w:rFonts w:hint="eastAsia" w:ascii="仿宋" w:hAnsi="仿宋" w:eastAsia="仿宋" w:cs="仿宋"/>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lang w:val="en-US" w:eastAsia="zh-CN"/>
        </w:rPr>
        <w:t>区政府出台的政策措施，由区市场监督管理局会同起草单位在起草阶段进行公平竞争审查。起草单位应当开展初审，并将政策措施草案和初审意见报送区市场监督管理局审查。</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第六条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起草单位应当建立健全公平竞争审查内部审查机制，明确审查机构和程序，可以由起草单位的具体业务机构负责，也可以采取内部特定机构统一审查或者由具体业务机构初审后提交特定机构复核等方式。</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第七条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起草单位开展公平竞争审查应当遵循审查基本流程，识别相关政策措施是否属于审查对象、判断是否违反审查标准、分析是否适用例外规定。属于审查对象的，经审查后应当形成明确的书面审查结论。审查结论应当包括政策措施名称、涉及行业领域、性质类别、起草机构、审查机构、征求意见情况、审查结论、适用例外规定情况、审查机构主要负责人意见等内容。政策措施出台后，审查结论由起草单位存档备查。未形成书面审查结论出台政策措施的，视为未进行公平竞争审查。</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第八条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开展公平竞争审查，应当听取有关经营者、行业协会、商会等利害关系人关于公平竞争影响的意见。涉及社会公众利益的，应当听取社会公众意见。</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对出台前需要保密或者有正当理由需要限定知悉范围的政策措施，由起草单位按照相关法律法规处理。</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第九条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有关部门和单位、个人对在公平竞争审查过程中知悉的国家秘密、商业秘密和个人隐私，应当予以保密。</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第十条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起草单位可以就公平竞争审查中遇到的具体问题，向区联席会议办公室提出咨询。提出咨询请求应当提供书面咨询函、政策措施文稿、起草说明、相关法律法规依据及其他相关材料。对涉及重大公共利益，且在制定过程中被反映或者举报涉嫌排除、限制竞争的政策措施，区联席会议办公室可以主动向起草单位提出公平竞争审查意见。</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第十一条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对多个部门联合制定或者涉及多个部门职责的政策措施，在公平竞争审查中出现较大争议或者部门意见难以协调一致时，起草单位可以提请区联席会议协调。区联席会议办公室认为确有必要的，可以根据相关工作规则召开会议进行协调。仍无法协调一致的，由起草单位提交上级机关决定。</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第十二条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对经公平竞争审查后出台的政策措施，起草单位应当对其影响统一市场和公平竞争的情况进行定期评估。评估报告应当向社会公开征求意见，评估结果应当向社会公开。经评估认为妨碍统一市场和公平竞争的，应当及时废止或者修改完善。</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b/>
          <w:bCs/>
          <w:i w:val="0"/>
          <w:caps w:val="0"/>
          <w:color w:val="auto"/>
          <w:spacing w:val="0"/>
          <w:sz w:val="32"/>
          <w:szCs w:val="32"/>
          <w:shd w:val="clear" w:fill="FFFFFF"/>
          <w:lang w:val="en-US" w:eastAsia="zh-CN"/>
        </w:rPr>
      </w:pP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第三章  审查标准</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第十三条</w:t>
      </w:r>
      <w:r>
        <w:rPr>
          <w:rFonts w:hint="eastAsia" w:ascii="仿宋" w:hAnsi="仿宋" w:eastAsia="仿宋" w:cs="仿宋"/>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lang w:val="en-US" w:eastAsia="zh-CN"/>
        </w:rPr>
        <w:t>起草单位起草的政策措施，不得含有下列限制或者变相限制市场准入和退出的内容：</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（一）对市场准入负面清单以外的行业、领域、业务等违法设置审批程序；</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（二）违法设置或者授予特许经营权；</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（三）限定经营、购买或者使用特定经营者提供的商品或者服务（以下统称商品）；</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（四）设置不合理或者歧视性的准入、退出条件；</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（五）其他限制或者变相限制市场准入和退出的内容。</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第十四条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起草单位起草的政策措施，不得含有下列限制商品、要素自由流动的内容：</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（一）限制外地或者进口商品、要素进入本地市场，或者阻碍本地经营者迁出，商品、要素输出；</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（二）排斥、限制、强制或者变相强制外地经营者在本地投资经营或者设立分支机构；</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（三）排斥、限制或者变相限制外地经营者参加本地政府采购、招标投标;</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（四）对外地或者进口商品、要素设置歧视性收费项目、收费标准、价格或者补贴；</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（五）在资质标准、监管执法等方面对外地经营者在本地投资经营设置歧视性要求；</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（六）其他限制商品、要素自由流动的内容。</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第十五条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起草单位起草的政策措施，没有法律、行政法规依据或者未经国务院批准，不得含有下列影响生产经营成本的内容：</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（一）给予特定经营者税收优惠；</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（二）给</w:t>
      </w:r>
      <w:bookmarkStart w:id="0" w:name="_GoBack"/>
      <w:bookmarkEnd w:id="0"/>
      <w:r>
        <w:rPr>
          <w:rFonts w:hint="eastAsia" w:ascii="仿宋_GB2312" w:hAnsi="仿宋_GB2312" w:eastAsia="仿宋_GB2312" w:cs="仿宋_GB2312"/>
          <w:b w:val="0"/>
          <w:bCs w:val="0"/>
          <w:i w:val="0"/>
          <w:caps w:val="0"/>
          <w:color w:val="auto"/>
          <w:spacing w:val="0"/>
          <w:sz w:val="32"/>
          <w:szCs w:val="32"/>
          <w:shd w:val="clear" w:fill="FFFFFF"/>
          <w:lang w:val="en-US" w:eastAsia="zh-CN"/>
        </w:rPr>
        <w:t>予特定经营者选择性、差异化的财政奖励或者补贴；</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（三）给予特定经营者要素获取、行政事业性收费、政府性基金、社会保险费等方面的优惠；</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（四）其他影响生产经营成本的内容。</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第十六条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起草单位起草的政策措施，不得含有下列影响生产经营行为的内容：</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（一）强制或者变相强制经营者实施垄断行为，或者为经营者实施垄断行为提供便利条件；</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（二）超越法定权限制定政府指导价、政府定价，为特定经营者提供优惠价格；</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（三）违法干预实行市场调节价的商品、要素的价格水平；</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（四）其他影响生产经营行为的内容。</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第十七条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起草单位起草的政策措施，具有或者可能具有排除、限制竞争效果，但符合下列情形之一，且没有对公平竞争影响更小的替代方案，并能够确定合理的实施期限或者终止条件的，可以出台：</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（一）为维护国家安全和发展利益的；</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（二）为促进科学技术进步、增强国家自主创新能力的；</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（三）为实现节约能源、保护环境、救灾救助等社会公共利益的；</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（四）法律、行政法规规定的其他情形。</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第十八条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起草单位应当在书面审查结论中说明政策措施是否适用例外规定。认为适用例外规定的，应当对符合适用例外规定的情形和条件进行详细说明。</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第十九条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起草单位应当逐年评估适用例外规定的政策措施的实施效果，形成书面评估报告。实施期限到期或者未达到预期效果的政策措施，应当及时停止执行或者进行调整。</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center"/>
        <w:textAlignment w:val="auto"/>
        <w:outlineLvl w:val="9"/>
        <w:rPr>
          <w:rFonts w:hint="eastAsia" w:ascii="黑体" w:hAnsi="黑体" w:eastAsia="黑体" w:cs="黑体"/>
          <w:b w:val="0"/>
          <w:bCs w:val="0"/>
          <w:i w:val="0"/>
          <w:caps w:val="0"/>
          <w:color w:val="auto"/>
          <w:spacing w:val="0"/>
          <w:sz w:val="32"/>
          <w:szCs w:val="32"/>
          <w:shd w:val="clear" w:fill="FFFFFF"/>
          <w:lang w:val="en-US" w:eastAsia="zh-CN"/>
        </w:rPr>
      </w:pP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outlineLvl w:val="9"/>
        <w:rPr>
          <w:rFonts w:hint="eastAsia" w:ascii="黑体" w:hAnsi="黑体" w:eastAsia="黑体" w:cs="黑体"/>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第四章  监督保障</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第二十条</w:t>
      </w:r>
      <w:r>
        <w:rPr>
          <w:rFonts w:hint="eastAsia" w:ascii="仿宋" w:hAnsi="仿宋" w:eastAsia="仿宋" w:cs="仿宋"/>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lang w:val="en-US" w:eastAsia="zh-CN"/>
        </w:rPr>
        <w:t>区市场监督管理局建立健全公平竞争审查抽查机制，组织对有关政策措施开展抽查，经核查发现违反本细则规定的，应当督促起草单位进行整改。</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区市场监督管理局应当向区政府报告抽查情况，抽查结果可以向社会公开。</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第二十一条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对违反本条例规定的政策措施，任何单位和个人可以向区市场监督管理局举报。区市场监督管理局接到举报后，应当及时处理或者转送有关部门处理。</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第二十二条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起草单位未进行公平竞争审查出台政策措施的，应当及时补做审查。发现存在违反公平竞争审查标准问题的，应当按照相关程序停止执行或者调整相关政策措施。停止执行或者调整相关政策措施的，应当依照《中华人民共和国政府信息公开条例》要求向社会公开。</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第二十三条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起草</w:t>
      </w:r>
      <w:r>
        <w:rPr>
          <w:rFonts w:hint="eastAsia" w:ascii="仿宋_GB2312" w:hAnsi="仿宋_GB2312" w:eastAsia="仿宋_GB2312" w:cs="仿宋_GB2312"/>
          <w:b w:val="0"/>
          <w:bCs w:val="0"/>
          <w:i w:val="0"/>
          <w:caps w:val="0"/>
          <w:color w:val="auto"/>
          <w:spacing w:val="0"/>
          <w:sz w:val="32"/>
          <w:szCs w:val="32"/>
          <w:shd w:val="clear" w:fill="FFFFFF"/>
          <w:lang w:eastAsia="zh-CN"/>
        </w:rPr>
        <w:t>单位出台</w:t>
      </w:r>
      <w:r>
        <w:rPr>
          <w:rFonts w:hint="eastAsia" w:ascii="仿宋_GB2312" w:hAnsi="仿宋_GB2312" w:eastAsia="仿宋_GB2312" w:cs="仿宋_GB2312"/>
          <w:b w:val="0"/>
          <w:bCs w:val="0"/>
          <w:i w:val="0"/>
          <w:caps w:val="0"/>
          <w:color w:val="auto"/>
          <w:spacing w:val="0"/>
          <w:sz w:val="32"/>
          <w:szCs w:val="32"/>
          <w:shd w:val="clear" w:fill="FFFFFF"/>
        </w:rPr>
        <w:t>未进行公平竞争审查或者违反公平竞争审查标准出台政策措施，造成严重后果的，将对有关主要负责人和直接责任人依法依规进行问责。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outlineLvl w:val="9"/>
        <w:rPr>
          <w:rFonts w:hint="eastAsia" w:ascii="黑体" w:hAnsi="黑体" w:eastAsia="黑体" w:cs="黑体"/>
          <w:b w:val="0"/>
          <w:bCs w:val="0"/>
          <w:i w:val="0"/>
          <w:caps w:val="0"/>
          <w:color w:val="auto"/>
          <w:spacing w:val="0"/>
          <w:sz w:val="32"/>
          <w:szCs w:val="32"/>
          <w:shd w:val="clear" w:fill="FFFFFF"/>
          <w:lang w:val="en-US" w:eastAsia="zh-CN"/>
        </w:rPr>
      </w:pP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outlineLvl w:val="9"/>
        <w:rPr>
          <w:rFonts w:hint="eastAsia" w:ascii="黑体" w:hAnsi="黑体" w:eastAsia="黑体" w:cs="黑体"/>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第五章  附则</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 w:hAnsi="仿宋" w:eastAsia="仿宋" w:cs="仿宋"/>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第二十四条</w:t>
      </w:r>
      <w:r>
        <w:rPr>
          <w:rFonts w:hint="eastAsia" w:ascii="仿宋" w:hAnsi="仿宋" w:eastAsia="仿宋" w:cs="仿宋"/>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lang w:val="en-US" w:eastAsia="zh-CN"/>
        </w:rPr>
        <w:t>本细则自</w:t>
      </w:r>
      <w:r>
        <w:rPr>
          <w:rFonts w:hint="default" w:ascii="仿宋_GB2312" w:hAnsi="仿宋_GB2312" w:eastAsia="仿宋_GB2312" w:cs="仿宋_GB2312"/>
          <w:b w:val="0"/>
          <w:bCs w:val="0"/>
          <w:i w:val="0"/>
          <w:caps w:val="0"/>
          <w:color w:val="auto"/>
          <w:spacing w:val="0"/>
          <w:sz w:val="32"/>
          <w:szCs w:val="32"/>
          <w:shd w:val="clear" w:fill="FFFFFF"/>
          <w:lang w:val="en" w:eastAsia="zh-CN"/>
        </w:rPr>
        <w:t>2024</w:t>
      </w:r>
      <w:r>
        <w:rPr>
          <w:rFonts w:hint="eastAsia" w:ascii="仿宋_GB2312" w:hAnsi="仿宋_GB2312" w:eastAsia="仿宋_GB2312" w:cs="仿宋_GB2312"/>
          <w:b w:val="0"/>
          <w:bCs w:val="0"/>
          <w:i w:val="0"/>
          <w:caps w:val="0"/>
          <w:color w:val="auto"/>
          <w:spacing w:val="0"/>
          <w:sz w:val="32"/>
          <w:szCs w:val="32"/>
          <w:shd w:val="clear" w:fill="FFFFFF"/>
          <w:lang w:val="en-US" w:eastAsia="zh-CN"/>
        </w:rPr>
        <w:t>年</w:t>
      </w:r>
      <w:r>
        <w:rPr>
          <w:rFonts w:hint="default" w:ascii="仿宋_GB2312" w:hAnsi="仿宋_GB2312" w:eastAsia="仿宋_GB2312" w:cs="仿宋_GB2312"/>
          <w:b w:val="0"/>
          <w:bCs w:val="0"/>
          <w:i w:val="0"/>
          <w:caps w:val="0"/>
          <w:color w:val="auto"/>
          <w:spacing w:val="0"/>
          <w:sz w:val="32"/>
          <w:szCs w:val="32"/>
          <w:shd w:val="clear" w:fill="FFFFFF"/>
          <w:lang w:val="en" w:eastAsia="zh-CN"/>
        </w:rPr>
        <w:t>12</w:t>
      </w:r>
      <w:r>
        <w:rPr>
          <w:rFonts w:hint="eastAsia" w:ascii="仿宋_GB2312" w:hAnsi="仿宋_GB2312" w:eastAsia="仿宋_GB2312" w:cs="仿宋_GB2312"/>
          <w:b w:val="0"/>
          <w:bCs w:val="0"/>
          <w:i w:val="0"/>
          <w:caps w:val="0"/>
          <w:color w:val="auto"/>
          <w:spacing w:val="0"/>
          <w:sz w:val="32"/>
          <w:szCs w:val="32"/>
          <w:shd w:val="clear" w:fill="FFFFFF"/>
          <w:lang w:val="en-US" w:eastAsia="zh-CN"/>
        </w:rPr>
        <w:t>月</w:t>
      </w:r>
      <w:r>
        <w:rPr>
          <w:rFonts w:hint="default" w:ascii="仿宋_GB2312" w:hAnsi="仿宋_GB2312" w:eastAsia="仿宋_GB2312" w:cs="仿宋_GB2312"/>
          <w:b w:val="0"/>
          <w:bCs w:val="0"/>
          <w:i w:val="0"/>
          <w:caps w:val="0"/>
          <w:color w:val="auto"/>
          <w:spacing w:val="0"/>
          <w:sz w:val="32"/>
          <w:szCs w:val="32"/>
          <w:shd w:val="clear" w:fill="FFFFFF"/>
          <w:lang w:val="en" w:eastAsia="zh-CN"/>
        </w:rPr>
        <w:t>1</w:t>
      </w:r>
      <w:r>
        <w:rPr>
          <w:rFonts w:hint="eastAsia" w:ascii="仿宋_GB2312" w:hAnsi="仿宋_GB2312" w:eastAsia="仿宋_GB2312" w:cs="仿宋_GB2312"/>
          <w:b w:val="0"/>
          <w:bCs w:val="0"/>
          <w:i w:val="0"/>
          <w:caps w:val="0"/>
          <w:color w:val="auto"/>
          <w:spacing w:val="0"/>
          <w:sz w:val="32"/>
          <w:szCs w:val="32"/>
          <w:shd w:val="clear" w:fill="FFFFFF"/>
          <w:lang w:val="en-US" w:eastAsia="zh-CN"/>
        </w:rPr>
        <w:t>日起实施，有效期至2025年12月1日。</w:t>
      </w:r>
    </w:p>
    <w:p>
      <w:pPr>
        <w:keepNext w:val="0"/>
        <w:keepLines w:val="0"/>
        <w:pageBreakBefore w:val="0"/>
        <w:widowControl w:val="0"/>
        <w:kinsoku/>
        <w:overflowPunct/>
        <w:topLinePunct w:val="0"/>
        <w:autoSpaceDN/>
        <w:bidi w:val="0"/>
        <w:adjustRightInd/>
        <w:textAlignment w:val="auto"/>
        <w:rPr>
          <w:rFonts w:hint="eastAsia" w:ascii="仿宋" w:hAnsi="仿宋" w:eastAsia="仿宋" w:cs="仿宋"/>
          <w:b w:val="0"/>
          <w:bCs w:val="0"/>
          <w:color w:val="auto"/>
          <w:spacing w:val="0"/>
          <w:sz w:val="32"/>
          <w:szCs w:val="32"/>
          <w:lang w:val="en-US" w:eastAsia="zh-CN"/>
        </w:rPr>
      </w:pPr>
    </w:p>
    <w:p>
      <w:pPr>
        <w:pStyle w:val="2"/>
        <w:rPr>
          <w:rFonts w:hint="eastAsia" w:ascii="仿宋" w:hAnsi="仿宋" w:eastAsia="仿宋" w:cs="仿宋"/>
          <w:b w:val="0"/>
          <w:bCs w:val="0"/>
          <w:color w:val="auto"/>
          <w:spacing w:val="0"/>
          <w:sz w:val="32"/>
          <w:szCs w:val="32"/>
          <w:lang w:val="en-US" w:eastAsia="zh-CN"/>
        </w:rPr>
      </w:pPr>
    </w:p>
    <w:p>
      <w:pPr>
        <w:rPr>
          <w:rFonts w:hint="eastAsia" w:ascii="仿宋" w:hAnsi="仿宋" w:eastAsia="仿宋" w:cs="仿宋"/>
          <w:b w:val="0"/>
          <w:bCs w:val="0"/>
          <w:color w:val="auto"/>
          <w:spacing w:val="0"/>
          <w:sz w:val="32"/>
          <w:szCs w:val="32"/>
          <w:lang w:val="en-US" w:eastAsia="zh-CN"/>
        </w:rPr>
      </w:pPr>
    </w:p>
    <w:p>
      <w:pPr>
        <w:pStyle w:val="2"/>
        <w:rPr>
          <w:rFonts w:hint="eastAsia" w:ascii="仿宋" w:hAnsi="仿宋" w:eastAsia="仿宋" w:cs="仿宋"/>
          <w:b w:val="0"/>
          <w:bCs w:val="0"/>
          <w:color w:val="auto"/>
          <w:spacing w:val="0"/>
          <w:sz w:val="32"/>
          <w:szCs w:val="32"/>
          <w:lang w:val="en-US" w:eastAsia="zh-CN"/>
        </w:rPr>
      </w:pPr>
    </w:p>
    <w:p>
      <w:pPr>
        <w:rPr>
          <w:rFonts w:hint="eastAsia" w:ascii="仿宋" w:hAnsi="仿宋" w:eastAsia="仿宋" w:cs="仿宋"/>
          <w:b w:val="0"/>
          <w:bCs w:val="0"/>
          <w:color w:val="auto"/>
          <w:spacing w:val="0"/>
          <w:sz w:val="32"/>
          <w:szCs w:val="32"/>
          <w:lang w:val="en-US" w:eastAsia="zh-CN"/>
        </w:rPr>
      </w:pPr>
    </w:p>
    <w:p>
      <w:pPr>
        <w:pStyle w:val="2"/>
        <w:rPr>
          <w:rFonts w:hint="eastAsia" w:ascii="仿宋" w:hAnsi="仿宋" w:eastAsia="仿宋" w:cs="仿宋"/>
          <w:b w:val="0"/>
          <w:bCs w:val="0"/>
          <w:color w:val="auto"/>
          <w:spacing w:val="0"/>
          <w:sz w:val="32"/>
          <w:szCs w:val="32"/>
          <w:lang w:val="en-US" w:eastAsia="zh-CN"/>
        </w:rPr>
      </w:pPr>
    </w:p>
    <w:p>
      <w:pPr>
        <w:rPr>
          <w:rFonts w:hint="eastAsia" w:ascii="仿宋" w:hAnsi="仿宋" w:eastAsia="仿宋" w:cs="仿宋"/>
          <w:b w:val="0"/>
          <w:bCs w:val="0"/>
          <w:color w:val="auto"/>
          <w:spacing w:val="0"/>
          <w:sz w:val="32"/>
          <w:szCs w:val="32"/>
          <w:lang w:val="en-US" w:eastAsia="zh-CN"/>
        </w:rPr>
      </w:pPr>
    </w:p>
    <w:p>
      <w:pPr>
        <w:pStyle w:val="2"/>
        <w:rPr>
          <w:rFonts w:hint="eastAsia" w:ascii="仿宋" w:hAnsi="仿宋" w:eastAsia="仿宋" w:cs="仿宋"/>
          <w:b w:val="0"/>
          <w:bCs w:val="0"/>
          <w:color w:val="auto"/>
          <w:spacing w:val="0"/>
          <w:sz w:val="32"/>
          <w:szCs w:val="32"/>
          <w:lang w:val="en-US" w:eastAsia="zh-CN"/>
        </w:rPr>
      </w:pPr>
    </w:p>
    <w:p>
      <w:pPr>
        <w:rPr>
          <w:rFonts w:hint="eastAsia" w:ascii="仿宋" w:hAnsi="仿宋" w:eastAsia="仿宋" w:cs="仿宋"/>
          <w:b w:val="0"/>
          <w:bC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lang w:val="en-US" w:eastAsia="zh-CN"/>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firstLine="280" w:firstLineChars="100"/>
        <w:textAlignment w:val="auto"/>
        <w:rPr>
          <w:rFonts w:hint="eastAsia"/>
          <w:lang w:val="en-US" w:eastAsia="zh-CN"/>
        </w:rPr>
      </w:pPr>
      <w:r>
        <w:rPr>
          <w:rFonts w:hint="eastAsia" w:ascii="仿宋_GB2312" w:eastAsia="仿宋_GB2312"/>
          <w:color w:val="000000"/>
          <w:sz w:val="28"/>
          <w:szCs w:val="28"/>
        </w:rPr>
        <w:t xml:space="preserve">山亭区人民政府办公室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w:t>
      </w:r>
      <w:r>
        <w:rPr>
          <w:rFonts w:hint="eastAsia" w:ascii="仿宋_GB2312" w:eastAsia="仿宋_GB2312"/>
          <w:color w:val="000000"/>
          <w:sz w:val="28"/>
          <w:szCs w:val="28"/>
          <w:lang w:val="en-US" w:eastAsia="zh-CN"/>
        </w:rPr>
        <w:t>24</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月</w:t>
      </w:r>
      <w:r>
        <w:rPr>
          <w:rFonts w:hint="default" w:ascii="仿宋_GB2312" w:eastAsia="仿宋_GB2312"/>
          <w:color w:val="000000"/>
          <w:sz w:val="28"/>
          <w:szCs w:val="28"/>
          <w:lang w:val="en" w:eastAsia="zh-CN"/>
        </w:rPr>
        <w:t>24</w:t>
      </w:r>
      <w:r>
        <w:rPr>
          <w:rFonts w:hint="eastAsia" w:ascii="仿宋_GB2312" w:eastAsia="仿宋_GB2312"/>
          <w:color w:val="000000"/>
          <w:sz w:val="28"/>
          <w:szCs w:val="28"/>
        </w:rPr>
        <w:t>日印发</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NzEyZDU4ZmJmNDJhOTQ5YzVjZjI2NDIwMzVkZjgifQ=="/>
  </w:docVars>
  <w:rsids>
    <w:rsidRoot w:val="00000000"/>
    <w:rsid w:val="01345E86"/>
    <w:rsid w:val="01575CB2"/>
    <w:rsid w:val="019A362C"/>
    <w:rsid w:val="02653FF9"/>
    <w:rsid w:val="02AD3B9E"/>
    <w:rsid w:val="02CC4CA2"/>
    <w:rsid w:val="03FE6319"/>
    <w:rsid w:val="04656FC2"/>
    <w:rsid w:val="04CB21E9"/>
    <w:rsid w:val="05FE3860"/>
    <w:rsid w:val="079600FE"/>
    <w:rsid w:val="07C43AF4"/>
    <w:rsid w:val="07FC3326"/>
    <w:rsid w:val="0862654D"/>
    <w:rsid w:val="09957BC4"/>
    <w:rsid w:val="09FA536A"/>
    <w:rsid w:val="0A616013"/>
    <w:rsid w:val="0AC55D37"/>
    <w:rsid w:val="0AC7123A"/>
    <w:rsid w:val="0BF92CE1"/>
    <w:rsid w:val="0DD26FB2"/>
    <w:rsid w:val="0DF66E74"/>
    <w:rsid w:val="0E5C209B"/>
    <w:rsid w:val="0F295F6C"/>
    <w:rsid w:val="0FEF5F9C"/>
    <w:rsid w:val="10C14D88"/>
    <w:rsid w:val="10EB0327"/>
    <w:rsid w:val="11373E3C"/>
    <w:rsid w:val="12C022CF"/>
    <w:rsid w:val="1524753B"/>
    <w:rsid w:val="15254FBD"/>
    <w:rsid w:val="15E20CD4"/>
    <w:rsid w:val="15F0598A"/>
    <w:rsid w:val="16BC6358"/>
    <w:rsid w:val="178847A7"/>
    <w:rsid w:val="17892228"/>
    <w:rsid w:val="178A7CAA"/>
    <w:rsid w:val="179C0C52"/>
    <w:rsid w:val="17EE79CE"/>
    <w:rsid w:val="17EF5450"/>
    <w:rsid w:val="18542BF6"/>
    <w:rsid w:val="193F3C6E"/>
    <w:rsid w:val="19B54FD6"/>
    <w:rsid w:val="19ED4F15"/>
    <w:rsid w:val="1AC21F08"/>
    <w:rsid w:val="1B034741"/>
    <w:rsid w:val="1B1F0B0A"/>
    <w:rsid w:val="1B20658C"/>
    <w:rsid w:val="1C156D4C"/>
    <w:rsid w:val="1C9F4596"/>
    <w:rsid w:val="1D1E6052"/>
    <w:rsid w:val="1D9276A0"/>
    <w:rsid w:val="1DEA6A1F"/>
    <w:rsid w:val="1E563998"/>
    <w:rsid w:val="1F81583C"/>
    <w:rsid w:val="21AD6A10"/>
    <w:rsid w:val="224C3750"/>
    <w:rsid w:val="231A50A3"/>
    <w:rsid w:val="244B0C98"/>
    <w:rsid w:val="254E2E44"/>
    <w:rsid w:val="25774431"/>
    <w:rsid w:val="257E230E"/>
    <w:rsid w:val="264A075D"/>
    <w:rsid w:val="26A833D5"/>
    <w:rsid w:val="273B0315"/>
    <w:rsid w:val="27E34FFB"/>
    <w:rsid w:val="28A819AB"/>
    <w:rsid w:val="29140BF0"/>
    <w:rsid w:val="29510F0C"/>
    <w:rsid w:val="2AAD2F10"/>
    <w:rsid w:val="2ABD762E"/>
    <w:rsid w:val="2C112292"/>
    <w:rsid w:val="2CAA74D3"/>
    <w:rsid w:val="2D780E25"/>
    <w:rsid w:val="2E423D71"/>
    <w:rsid w:val="2E4317F2"/>
    <w:rsid w:val="2F1156C3"/>
    <w:rsid w:val="2F963509"/>
    <w:rsid w:val="30436D3A"/>
    <w:rsid w:val="32033791"/>
    <w:rsid w:val="324167FF"/>
    <w:rsid w:val="32A66524"/>
    <w:rsid w:val="330C174B"/>
    <w:rsid w:val="33A33A03"/>
    <w:rsid w:val="33D87B9A"/>
    <w:rsid w:val="33D9561C"/>
    <w:rsid w:val="343E2DC2"/>
    <w:rsid w:val="350A1211"/>
    <w:rsid w:val="363D2887"/>
    <w:rsid w:val="370A6758"/>
    <w:rsid w:val="376F3A60"/>
    <w:rsid w:val="37B76B99"/>
    <w:rsid w:val="37B92A6D"/>
    <w:rsid w:val="383C7DCF"/>
    <w:rsid w:val="389F7E73"/>
    <w:rsid w:val="39072D1B"/>
    <w:rsid w:val="396D5F42"/>
    <w:rsid w:val="3A3B7894"/>
    <w:rsid w:val="3A9F75B9"/>
    <w:rsid w:val="3AA0503A"/>
    <w:rsid w:val="3ACD3B57"/>
    <w:rsid w:val="3B075CE3"/>
    <w:rsid w:val="3B374F11"/>
    <w:rsid w:val="3C9F4B00"/>
    <w:rsid w:val="3DB24F03"/>
    <w:rsid w:val="3DD006F5"/>
    <w:rsid w:val="3E37139E"/>
    <w:rsid w:val="3F021D6B"/>
    <w:rsid w:val="3F566469"/>
    <w:rsid w:val="3FCF5C3C"/>
    <w:rsid w:val="40360E64"/>
    <w:rsid w:val="40475E2A"/>
    <w:rsid w:val="408347E6"/>
    <w:rsid w:val="409B660A"/>
    <w:rsid w:val="410272B3"/>
    <w:rsid w:val="412C397A"/>
    <w:rsid w:val="41CC21FF"/>
    <w:rsid w:val="421E4966"/>
    <w:rsid w:val="42332EA8"/>
    <w:rsid w:val="42335D91"/>
    <w:rsid w:val="43803307"/>
    <w:rsid w:val="43CB1CC4"/>
    <w:rsid w:val="443303EF"/>
    <w:rsid w:val="449C7E1E"/>
    <w:rsid w:val="45610E61"/>
    <w:rsid w:val="45651A65"/>
    <w:rsid w:val="45B5215B"/>
    <w:rsid w:val="462F49B1"/>
    <w:rsid w:val="46302433"/>
    <w:rsid w:val="47633AAA"/>
    <w:rsid w:val="47AA604F"/>
    <w:rsid w:val="48CE77DB"/>
    <w:rsid w:val="48FB0348"/>
    <w:rsid w:val="49605AEE"/>
    <w:rsid w:val="49C76797"/>
    <w:rsid w:val="4AFA7E0D"/>
    <w:rsid w:val="4B064490"/>
    <w:rsid w:val="4B5F55B3"/>
    <w:rsid w:val="4BC507DB"/>
    <w:rsid w:val="4C2C1484"/>
    <w:rsid w:val="4D5E2AFB"/>
    <w:rsid w:val="4E8F0C6E"/>
    <w:rsid w:val="4E914171"/>
    <w:rsid w:val="4F5B70BD"/>
    <w:rsid w:val="4FA77FE6"/>
    <w:rsid w:val="4FC122E5"/>
    <w:rsid w:val="515B2086"/>
    <w:rsid w:val="515B4604"/>
    <w:rsid w:val="51B255FF"/>
    <w:rsid w:val="528C01F9"/>
    <w:rsid w:val="535940CA"/>
    <w:rsid w:val="5623455D"/>
    <w:rsid w:val="56241FDF"/>
    <w:rsid w:val="56897785"/>
    <w:rsid w:val="568A5206"/>
    <w:rsid w:val="57180D0C"/>
    <w:rsid w:val="57563424"/>
    <w:rsid w:val="58E06227"/>
    <w:rsid w:val="5A1F6067"/>
    <w:rsid w:val="5A874791"/>
    <w:rsid w:val="5BB95E08"/>
    <w:rsid w:val="5BBEAD5A"/>
    <w:rsid w:val="5C3E2020"/>
    <w:rsid w:val="5E82081A"/>
    <w:rsid w:val="5EC318DB"/>
    <w:rsid w:val="5EE83A41"/>
    <w:rsid w:val="5F2B609D"/>
    <w:rsid w:val="5F5D47E4"/>
    <w:rsid w:val="5FB51E90"/>
    <w:rsid w:val="601B50B8"/>
    <w:rsid w:val="6125327C"/>
    <w:rsid w:val="614D672E"/>
    <w:rsid w:val="64071C79"/>
    <w:rsid w:val="6444317B"/>
    <w:rsid w:val="667E4DB2"/>
    <w:rsid w:val="673B0877"/>
    <w:rsid w:val="6749577F"/>
    <w:rsid w:val="67FB4CD9"/>
    <w:rsid w:val="68153BCE"/>
    <w:rsid w:val="68161650"/>
    <w:rsid w:val="688B219F"/>
    <w:rsid w:val="694677C3"/>
    <w:rsid w:val="69AE046D"/>
    <w:rsid w:val="6A143694"/>
    <w:rsid w:val="6AE01AE3"/>
    <w:rsid w:val="6BAC65AB"/>
    <w:rsid w:val="6C1A6A8C"/>
    <w:rsid w:val="6D0A4613"/>
    <w:rsid w:val="6DB2040C"/>
    <w:rsid w:val="6E10519E"/>
    <w:rsid w:val="6EDC35ED"/>
    <w:rsid w:val="6EDD106E"/>
    <w:rsid w:val="6FA81A3C"/>
    <w:rsid w:val="700F26E5"/>
    <w:rsid w:val="703F58AB"/>
    <w:rsid w:val="71400858"/>
    <w:rsid w:val="714162DA"/>
    <w:rsid w:val="71423D5C"/>
    <w:rsid w:val="71A63A80"/>
    <w:rsid w:val="72105E88"/>
    <w:rsid w:val="72B3549F"/>
    <w:rsid w:val="72D850F7"/>
    <w:rsid w:val="74711995"/>
    <w:rsid w:val="74AD3F2D"/>
    <w:rsid w:val="75A3300B"/>
    <w:rsid w:val="760A3CB4"/>
    <w:rsid w:val="766F145A"/>
    <w:rsid w:val="773C532B"/>
    <w:rsid w:val="77A22AD1"/>
    <w:rsid w:val="7809377A"/>
    <w:rsid w:val="78B91B66"/>
    <w:rsid w:val="78D44148"/>
    <w:rsid w:val="79EA3BD9"/>
    <w:rsid w:val="7AD3168F"/>
    <w:rsid w:val="7BA07ADE"/>
    <w:rsid w:val="7BFB246A"/>
    <w:rsid w:val="7D3A51DB"/>
    <w:rsid w:val="7D9C40A0"/>
    <w:rsid w:val="7ECD5A97"/>
    <w:rsid w:val="7ED03198"/>
    <w:rsid w:val="7F3663C0"/>
    <w:rsid w:val="F3FEEFA5"/>
    <w:rsid w:val="FBDD2F0E"/>
    <w:rsid w:val="FCEFD273"/>
    <w:rsid w:val="FFF3F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hAnsi="宋体" w:eastAsia="仿宋_GB2312"/>
      <w:color w:val="000000"/>
      <w:sz w:val="36"/>
      <w:szCs w:val="36"/>
    </w:rPr>
  </w:style>
  <w:style w:type="paragraph" w:styleId="3">
    <w:name w:val="Body Text"/>
    <w:basedOn w:val="1"/>
    <w:next w:val="4"/>
    <w:qFormat/>
    <w:uiPriority w:val="0"/>
    <w:pPr>
      <w:spacing w:before="0" w:after="140" w:line="276" w:lineRule="auto"/>
    </w:pPr>
  </w:style>
  <w:style w:type="paragraph" w:styleId="4">
    <w:name w:val="toc 5"/>
    <w:basedOn w:val="1"/>
    <w:next w:val="1"/>
    <w:qFormat/>
    <w:uiPriority w:val="0"/>
    <w:pPr>
      <w:ind w:left="1680" w:leftChars="8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3108</Words>
  <Characters>3125</Characters>
  <Lines>0</Lines>
  <Paragraphs>0</Paragraphs>
  <TotalTime>75</TotalTime>
  <ScaleCrop>false</ScaleCrop>
  <LinksUpToDate>false</LinksUpToDate>
  <CharactersWithSpaces>3216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lenovo</dc:creator>
  <cp:lastModifiedBy>user</cp:lastModifiedBy>
  <cp:lastPrinted>2024-10-24T08:06:00Z</cp:lastPrinted>
  <dcterms:modified xsi:type="dcterms:W3CDTF">2024-10-25T09:48:54Z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F93383E7CEAF4B4F9557F96BA16AC93C_13</vt:lpwstr>
  </property>
</Properties>
</file>